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1"/>
        <w:tblpPr w:leftFromText="180" w:rightFromText="180" w:vertAnchor="page" w:horzAnchor="margin" w:tblpXSpec="center" w:tblpY="602"/>
        <w:tblW w:w="10980" w:type="dxa"/>
        <w:tblLook w:val="04A0"/>
      </w:tblPr>
      <w:tblGrid>
        <w:gridCol w:w="2106"/>
        <w:gridCol w:w="5818"/>
        <w:gridCol w:w="3056"/>
      </w:tblGrid>
      <w:tr w:rsidR="00E106D5" w:rsidTr="00E106D5">
        <w:trPr>
          <w:cnfStyle w:val="100000000000"/>
        </w:trPr>
        <w:tc>
          <w:tcPr>
            <w:cnfStyle w:val="001000000000"/>
            <w:tcW w:w="2106" w:type="dxa"/>
          </w:tcPr>
          <w:p w:rsidR="00E106D5" w:rsidRDefault="00526F7B" w:rsidP="00E106D5">
            <w:pPr>
              <w:pStyle w:val="Header"/>
              <w:rPr>
                <w:rFonts w:ascii="Times New Roman" w:hAnsi="Times New Roman" w:cs="Times New Roman"/>
                <w:i/>
                <w:iCs/>
                <w:sz w:val="24"/>
                <w:szCs w:val="24"/>
              </w:rPr>
            </w:pPr>
            <w:bookmarkStart w:id="0" w:name="_Hlk55885651"/>
            <w:r>
              <w:rPr>
                <w:rFonts w:ascii="Times New Roman" w:hAnsi="Times New Roman" w:cs="Times New Roman"/>
                <w:i/>
                <w:iCs/>
                <w:noProof/>
                <w:sz w:val="24"/>
                <w:szCs w:val="24"/>
              </w:rPr>
              <w:pict>
                <v:line id="Straight Connector 5" o:spid="_x0000_s1026" style="position:absolute;z-index:251660288;visibility:visible;mso-height-relative:margin" from="-5.55pt,67.4pt" to="544.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" strokecolor="#8064a2 [3207]" strokeweight="3pt">
                  <v:shadow on="t" color="black" opacity="22937f" origin=",.5" offset="0,.63889mm"/>
                </v:line>
              </w:pict>
            </w:r>
            <w:r w:rsidR="00E106D5">
              <w:rPr>
                <w:rFonts w:ascii="Times New Roman" w:hAnsi="Times New Roman" w:cs="Times New Roman"/>
                <w:i/>
                <w:iCs/>
                <w:noProof/>
                <w:sz w:val="24"/>
                <w:szCs w:val="24"/>
              </w:rPr>
              <w:drawing>
                <wp:anchor distT="0" distB="0" distL="114300" distR="114300" simplePos="0" relativeHeight="251661312" behindDoc="1" locked="0" layoutInCell="1" allowOverlap="1">
                  <wp:simplePos x="0" y="0"/>
                  <wp:positionH relativeFrom="column">
                    <wp:posOffset>205740</wp:posOffset>
                  </wp:positionH>
                  <wp:positionV relativeFrom="paragraph">
                    <wp:posOffset>-1905</wp:posOffset>
                  </wp:positionV>
                  <wp:extent cx="763270" cy="76327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3270" cy="763270"/>
                          </a:xfrm>
                          <a:prstGeom prst="rect">
                            <a:avLst/>
                          </a:prstGeom>
                          <a:noFill/>
                          <a:ln>
                            <a:noFill/>
                          </a:ln>
                        </pic:spPr>
                      </pic:pic>
                    </a:graphicData>
                  </a:graphic>
                </wp:anchor>
              </w:drawing>
            </w:r>
          </w:p>
        </w:tc>
        <w:tc>
          <w:tcPr>
            <w:tcW w:w="5818" w:type="dxa"/>
          </w:tcPr>
          <w:p w:rsidR="00E106D5" w:rsidRPr="00147BF5" w:rsidRDefault="00526F7B" w:rsidP="00E106D5">
            <w:pPr>
              <w:pStyle w:val="Header"/>
              <w:cnfStyle w:val="100000000000"/>
              <w:rPr>
                <w:rFonts w:ascii="Times New Roman" w:hAnsi="Times New Roman" w:cs="Times New Roman"/>
                <w:i/>
                <w:iCs/>
                <w:color w:val="7030A0"/>
                <w:sz w:val="36"/>
                <w:szCs w:val="36"/>
              </w:rPr>
            </w:pPr>
            <w:hyperlink r:id="rId9" w:history="1">
              <w:r w:rsidR="00E106D5" w:rsidRPr="00147BF5">
                <w:rPr>
                  <w:rStyle w:val="Hyperlink"/>
                  <w:rFonts w:ascii="Times New Roman" w:hAnsi="Times New Roman" w:cs="Times New Roman"/>
                  <w:i/>
                  <w:iCs/>
                  <w:color w:val="7030A0"/>
                  <w:sz w:val="36"/>
                  <w:szCs w:val="36"/>
                </w:rPr>
                <w:t>JAHAN-E-TAHQEEQ</w:t>
              </w:r>
            </w:hyperlink>
          </w:p>
          <w:p w:rsidR="00E106D5" w:rsidRDefault="00E106D5" w:rsidP="00E106D5">
            <w:pPr>
              <w:pStyle w:val="Header"/>
              <w:cnfStyle w:val="100000000000"/>
              <w:rPr>
                <w:rFonts w:ascii="Times New Roman" w:hAnsi="Times New Roman" w:cs="Times New Roman"/>
                <w:i/>
                <w:iCs/>
                <w:sz w:val="24"/>
                <w:szCs w:val="24"/>
              </w:rPr>
            </w:pPr>
            <w:r w:rsidRPr="00147BF5">
              <w:rPr>
                <w:rFonts w:ascii="Times New Roman" w:hAnsi="Times New Roman" w:cs="Times New Roman"/>
                <w:i/>
                <w:iCs/>
                <w:color w:val="7030A0"/>
                <w:sz w:val="24"/>
                <w:szCs w:val="24"/>
              </w:rPr>
              <w:t>www.Jahan-e-Tahqeeq.com</w:t>
            </w:r>
          </w:p>
        </w:tc>
        <w:tc>
          <w:tcPr>
            <w:tcW w:w="3056" w:type="dxa"/>
          </w:tcPr>
          <w:p w:rsidR="00E106D5" w:rsidRPr="00182EE3" w:rsidRDefault="00E106D5" w:rsidP="00E106D5">
            <w:pPr>
              <w:pStyle w:val="Header"/>
              <w:ind w:firstLine="720"/>
              <w:jc w:val="right"/>
              <w:cnfStyle w:val="100000000000"/>
              <w:rPr>
                <w:rFonts w:ascii="Times New Roman" w:hAnsi="Times New Roman" w:cs="Times New Roman"/>
                <w:i/>
                <w:iCs/>
                <w:color w:val="000000" w:themeColor="text1"/>
                <w:sz w:val="24"/>
                <w:szCs w:val="24"/>
              </w:rPr>
            </w:pPr>
            <w:r w:rsidRPr="00182EE3">
              <w:rPr>
                <w:rFonts w:ascii="Times New Roman" w:hAnsi="Times New Roman" w:cs="Times New Roman"/>
                <w:i/>
                <w:iCs/>
                <w:color w:val="000000" w:themeColor="text1"/>
                <w:sz w:val="24"/>
                <w:szCs w:val="24"/>
              </w:rPr>
              <w:t>Vol. X, No.X (20XX)</w:t>
            </w:r>
          </w:p>
          <w:p w:rsidR="00E106D5" w:rsidRPr="00147BF5" w:rsidRDefault="00526F7B" w:rsidP="00E106D5">
            <w:pPr>
              <w:jc w:val="right"/>
              <w:cnfStyle w:val="100000000000"/>
              <w:rPr>
                <w:color w:val="7030A0"/>
              </w:rPr>
            </w:pPr>
            <w:hyperlink r:id="rId10" w:tgtFrame="_blank" w:history="1">
              <w:r w:rsidR="00F4547D">
                <w:rPr>
                  <w:rStyle w:val="Hyperlink"/>
                  <w:color w:val="7030A0"/>
                </w:rPr>
                <w:t>e-</w:t>
              </w:r>
              <w:r w:rsidR="00E106D5">
                <w:rPr>
                  <w:rStyle w:val="Hyperlink"/>
                  <w:color w:val="7030A0"/>
                </w:rPr>
                <w:t xml:space="preserve"> ISSN: 2709-7625</w:t>
              </w:r>
            </w:hyperlink>
          </w:p>
          <w:p w:rsidR="00E106D5" w:rsidRPr="00147BF5" w:rsidRDefault="00526F7B" w:rsidP="00E106D5">
            <w:pPr>
              <w:jc w:val="right"/>
              <w:cnfStyle w:val="100000000000"/>
              <w:rPr>
                <w:color w:val="7030A0"/>
              </w:rPr>
            </w:pPr>
            <w:hyperlink r:id="rId11" w:tgtFrame="_blank" w:history="1">
              <w:r w:rsidR="00F4547D">
                <w:rPr>
                  <w:rStyle w:val="Hyperlink"/>
                  <w:color w:val="7030A0"/>
                </w:rPr>
                <w:t>p-</w:t>
              </w:r>
              <w:r w:rsidR="00E106D5">
                <w:rPr>
                  <w:rStyle w:val="Hyperlink"/>
                  <w:color w:val="7030A0"/>
                </w:rPr>
                <w:t>ISSN:2709-7617</w:t>
              </w:r>
            </w:hyperlink>
            <w:bookmarkStart w:id="1" w:name="_GoBack"/>
            <w:bookmarkEnd w:id="1"/>
          </w:p>
          <w:p w:rsidR="00E106D5" w:rsidRDefault="00E106D5" w:rsidP="00E106D5">
            <w:pPr>
              <w:pStyle w:val="Header"/>
              <w:cnfStyle w:val="100000000000"/>
              <w:rPr>
                <w:rFonts w:ascii="Times New Roman" w:hAnsi="Times New Roman" w:cs="Times New Roman"/>
                <w:i/>
                <w:iCs/>
                <w:sz w:val="24"/>
                <w:szCs w:val="24"/>
              </w:rPr>
            </w:pPr>
          </w:p>
        </w:tc>
      </w:tr>
    </w:tbl>
    <w:p w:rsidR="00552715" w:rsidRDefault="00C72B5D" w:rsidP="00E67A36">
      <w:pPr>
        <w:spacing w:before="240" w:after="0"/>
        <w:jc w:val="center"/>
        <w:rPr>
          <w:rFonts w:ascii="Jameel Noori Nastaleeq" w:eastAsia="Calibri" w:hAnsi="Jameel Noori Nastaleeq" w:cs="Jameel Noori Nastaleeq"/>
          <w:b/>
          <w:bCs/>
          <w:sz w:val="32"/>
          <w:szCs w:val="32"/>
        </w:rPr>
      </w:pPr>
      <w:r w:rsidRPr="00C72B5D">
        <w:rPr>
          <w:rFonts w:ascii="Jameel Noori Nastaleeq" w:eastAsia="Calibri" w:hAnsi="Jameel Noori Nastaleeq" w:cs="Jameel Noori Nastaleeq"/>
          <w:b/>
          <w:bCs/>
          <w:sz w:val="32"/>
          <w:szCs w:val="32"/>
          <w:rtl/>
        </w:rPr>
        <w:t>تحقیقی مقالہ کا عنوان</w:t>
      </w:r>
    </w:p>
    <w:p w:rsidR="00C72B5D" w:rsidRPr="00C72B5D" w:rsidRDefault="00C72B5D" w:rsidP="00C72B5D">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801" w:type="dxa"/>
        <w:tblInd w:w="-1238" w:type="dxa"/>
        <w:tblLook w:val="04A0"/>
      </w:tblPr>
      <w:tblGrid>
        <w:gridCol w:w="3528"/>
        <w:gridCol w:w="7273"/>
      </w:tblGrid>
      <w:tr w:rsidR="00E8300A" w:rsidRPr="00E8300A" w:rsidTr="00D34C23">
        <w:trPr>
          <w:cnfStyle w:val="100000000000"/>
          <w:trHeight w:val="264"/>
        </w:trPr>
        <w:tc>
          <w:tcPr>
            <w:cnfStyle w:val="001000000000"/>
            <w:tcW w:w="3528"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7273" w:type="dxa"/>
            <w:shd w:val="clear" w:color="auto" w:fill="auto"/>
          </w:tcPr>
          <w:p w:rsidR="00E8300A" w:rsidRPr="00E8300A" w:rsidRDefault="00E8300A" w:rsidP="007D0060">
            <w:pPr>
              <w:spacing w:line="276" w:lineRule="auto"/>
              <w:jc w:val="center"/>
              <w:cnfStyle w:val="10000000000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D34C23">
        <w:trPr>
          <w:cnfStyle w:val="000000100000"/>
          <w:trHeight w:val="561"/>
        </w:trPr>
        <w:tc>
          <w:tcPr>
            <w:cnfStyle w:val="001000000000"/>
            <w:tcW w:w="3528"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7273" w:type="dxa"/>
            <w:vMerge w:val="restart"/>
            <w:shd w:val="clear" w:color="auto" w:fill="auto"/>
          </w:tcPr>
          <w:p w:rsidR="00AD3F34" w:rsidRDefault="00AD3F34" w:rsidP="005E6A83">
            <w:pPr>
              <w:spacing w:after="80" w:line="240" w:lineRule="exact"/>
              <w:jc w:val="both"/>
              <w:cnfStyle w:val="000000100000"/>
              <w:rPr>
                <w:rFonts w:ascii="Times New Roman" w:hAnsi="Times New Roman" w:cs="Times New Roman"/>
                <w:iCs/>
                <w:sz w:val="24"/>
                <w:szCs w:val="24"/>
              </w:rPr>
            </w:pPr>
          </w:p>
          <w:p w:rsidR="00E8300A" w:rsidRDefault="002D3ABD" w:rsidP="005E6A83">
            <w:pPr>
              <w:spacing w:after="80" w:line="240" w:lineRule="exact"/>
              <w:jc w:val="both"/>
              <w:cnfStyle w:val="00000010000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rPr>
                <w:rFonts w:ascii="Times New Roman" w:hAnsi="Times New Roman" w:cs="Times New Roman"/>
                <w:iCs/>
                <w:sz w:val="24"/>
                <w:szCs w:val="24"/>
              </w:rPr>
            </w:pPr>
          </w:p>
          <w:p w:rsidR="00AD3F34" w:rsidRDefault="00AD3F34" w:rsidP="005E6A83">
            <w:pPr>
              <w:spacing w:after="80" w:line="240" w:lineRule="exact"/>
              <w:jc w:val="both"/>
              <w:cnfStyle w:val="000000100000"/>
              <w:rPr>
                <w:rFonts w:ascii="Times New Roman" w:hAnsi="Times New Roman" w:cs="Times New Roman"/>
                <w:iCs/>
                <w:sz w:val="24"/>
                <w:szCs w:val="24"/>
              </w:rPr>
            </w:pPr>
          </w:p>
          <w:p w:rsidR="00AD3F34" w:rsidRDefault="00AD3F34" w:rsidP="005E6A83">
            <w:pPr>
              <w:spacing w:after="80" w:line="240" w:lineRule="exact"/>
              <w:jc w:val="both"/>
              <w:cnfStyle w:val="000000100000"/>
              <w:rPr>
                <w:rFonts w:ascii="Times New Roman" w:hAnsi="Times New Roman" w:cs="Times New Roman"/>
                <w:iCs/>
                <w:sz w:val="24"/>
                <w:szCs w:val="24"/>
              </w:rPr>
            </w:pPr>
          </w:p>
          <w:p w:rsidR="00AD3F34" w:rsidRDefault="00AD3F34" w:rsidP="005E6A83">
            <w:pPr>
              <w:spacing w:after="80" w:line="240" w:lineRule="exact"/>
              <w:jc w:val="both"/>
              <w:cnfStyle w:val="00000010000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rPr>
                <w:rFonts w:ascii="Times New Roman" w:hAnsi="Times New Roman" w:cs="Times New Roman"/>
                <w:iCs/>
                <w:sz w:val="24"/>
                <w:szCs w:val="24"/>
              </w:rPr>
            </w:pPr>
          </w:p>
        </w:tc>
      </w:tr>
      <w:tr w:rsidR="00E8300A" w:rsidRPr="00E8300A" w:rsidTr="00D34C23">
        <w:trPr>
          <w:trHeight w:val="587"/>
        </w:trPr>
        <w:tc>
          <w:tcPr>
            <w:cnfStyle w:val="001000000000"/>
            <w:tcW w:w="3528"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r w:rsidR="00552715" w:rsidRPr="00552715">
              <w:rPr>
                <w:rFonts w:ascii="Times New Roman" w:hAnsi="Times New Roman" w:cs="Times New Roman"/>
                <w:b w:val="0"/>
                <w:bCs w:val="0"/>
                <w:sz w:val="24"/>
                <w:szCs w:val="24"/>
              </w:rPr>
              <w:t>.</w:t>
            </w:r>
          </w:p>
        </w:tc>
        <w:tc>
          <w:tcPr>
            <w:tcW w:w="7273" w:type="dxa"/>
            <w:vMerge/>
            <w:shd w:val="clear" w:color="auto" w:fill="auto"/>
          </w:tcPr>
          <w:p w:rsidR="00E8300A" w:rsidRPr="00E8300A" w:rsidRDefault="00E8300A" w:rsidP="007D0060">
            <w:pPr>
              <w:spacing w:line="276" w:lineRule="auto"/>
              <w:jc w:val="center"/>
              <w:cnfStyle w:val="00000000000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lastRenderedPageBreak/>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2" w:name="OLE_LINK225"/>
      <w:bookmarkStart w:id="3" w:name="OLE_LINK226"/>
      <w:r w:rsidRPr="00D34C23">
        <w:rPr>
          <w:rFonts w:ascii="Times New Roman" w:hAnsi="Times New Roman" w:cs="Times New Roman"/>
          <w:sz w:val="24"/>
          <w:szCs w:val="20"/>
        </w:rPr>
        <w:t xml:space="preserve">Beck &amp; Sales, </w:t>
      </w:r>
      <w:bookmarkEnd w:id="2"/>
      <w:bookmarkEnd w:id="3"/>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Specify the research design in the Method section. Were subjects placed into conditions that were manipulated, or were they observed naturalistically? If multiple conditions were created, how were participants assigned to conditions, through </w:t>
      </w:r>
      <w:r w:rsidRPr="00D34C23">
        <w:rPr>
          <w:rFonts w:ascii="Times New Roman" w:hAnsi="Times New Roman" w:cs="Times New Roman"/>
          <w:iCs/>
          <w:sz w:val="24"/>
        </w:rPr>
        <w:lastRenderedPageBreak/>
        <w:t>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526F7B"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on"/>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00526F7B"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findings) when theory predicts large (or statistically significant) ones. Do not hide uncomfortable results by omission. Do not include individual scores or raw data </w:t>
      </w:r>
      <w:bookmarkStart w:id="4" w:name="OLE_LINK227"/>
      <w:bookmarkStart w:id="5" w:name="OLE_LINK228"/>
      <w:r w:rsidRPr="00D34C23">
        <w:rPr>
          <w:rFonts w:ascii="Times New Roman" w:hAnsi="Times New Roman" w:cs="Times New Roman"/>
          <w:iCs/>
          <w:sz w:val="24"/>
        </w:rPr>
        <w:t>with the exception</w:t>
      </w:r>
      <w:bookmarkEnd w:id="4"/>
      <w:bookmarkEnd w:id="5"/>
      <w:r w:rsidRPr="00D34C23">
        <w:rPr>
          <w:rFonts w:ascii="Times New Roman" w:hAnsi="Times New Roman" w:cs="Times New Roman"/>
          <w:iCs/>
          <w:sz w:val="24"/>
        </w:rPr>
        <w:t>, for example, of single-case designs or illustrative examples. In the spirit of data sharing (encouraged by APA and other professional associations and sometimes required by funding agencies), raw data, including study characteristics and indivldual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Provide dates defining the periods of recruitment and follow-up and the pnmary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w:t>
      </w:r>
      <w:r w:rsidRPr="00D34C23">
        <w:rPr>
          <w:rFonts w:ascii="Times New Roman" w:hAnsi="Times New Roman" w:cs="Times New Roman"/>
          <w:iCs/>
          <w:sz w:val="24"/>
        </w:rPr>
        <w:lastRenderedPageBreak/>
        <w:t>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r w:rsidRPr="005E6A83">
        <w:rPr>
          <w:rFonts w:ascii="Times New Roman" w:hAnsi="Times New Roman" w:cs="Times New Roman"/>
          <w:b/>
          <w:sz w:val="24"/>
        </w:rPr>
        <w:t>Table 1. Table title (this is an example of table 1)</w:t>
      </w:r>
    </w:p>
    <w:tbl>
      <w:tblPr>
        <w:tblW w:w="0" w:type="auto"/>
        <w:jc w:val="center"/>
        <w:tblBorders>
          <w:top w:val="single" w:sz="4" w:space="0" w:color="auto"/>
          <w:insideH w:val="single" w:sz="4" w:space="0" w:color="auto"/>
        </w:tblBorders>
        <w:tblLook w:val="04A0"/>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6" w:name="OLE_LINK3"/>
            <w:bookmarkStart w:id="7"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6"/>
    <w:bookmarkEnd w:id="7"/>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iCs/>
          <w:sz w:val="24"/>
          <w:lang w:val="en-GB"/>
        </w:rPr>
        <w:t>Note.</w:t>
      </w:r>
      <w:r w:rsidRPr="00D34C23">
        <w:rPr>
          <w:rFonts w:ascii="Times New Roman" w:hAnsi="Times New Roman" w:cs="Times New Roman"/>
          <w:sz w:val="24"/>
        </w:rPr>
        <w:t>Place table caption in front of table body and description below the table body.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w:t>
      </w:r>
      <w:r w:rsidRPr="00D34C23">
        <w:rPr>
          <w:rFonts w:ascii="Times New Roman" w:hAnsi="Times New Roman" w:cs="Times New Roman"/>
          <w:iCs/>
          <w:sz w:val="24"/>
        </w:rPr>
        <w:lastRenderedPageBreak/>
        <w:t>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2">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r w:rsidRPr="00D34C23">
        <w:rPr>
          <w:rFonts w:ascii="Times New Roman" w:hAnsi="Times New Roman" w:cs="Times New Roman"/>
          <w:sz w:val="24"/>
        </w:rPr>
        <w:t>Figure 1.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lastRenderedPageBreak/>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American Psychological Association.(1972). </w:t>
      </w:r>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Anderson, C. A., Gentile, D. A., &amp; Buckley, K. E. (2007).</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Beck, C. A. J., &amp; Sales, B. D. (2001).</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ed.). New York, NY: Atheneum.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Bjork, R. A. (1989). Retrieval inhibition as an adaptive mechanism in human memory.In H. L. Roediger</w:t>
      </w:r>
      <w:bookmarkStart w:id="8" w:name="OLE_LINK1237"/>
      <w:bookmarkStart w:id="9" w:name="OLE_LINK1238"/>
      <w:r w:rsidRPr="00D34C23">
        <w:rPr>
          <w:rFonts w:ascii="Times New Roman" w:hAnsi="Times New Roman" w:cs="Times New Roman"/>
          <w:sz w:val="24"/>
          <w:szCs w:val="20"/>
        </w:rPr>
        <w:t>III</w:t>
      </w:r>
      <w:bookmarkEnd w:id="8"/>
      <w:bookmarkEnd w:id="9"/>
      <w:r w:rsidRPr="00D34C23">
        <w:rPr>
          <w:rFonts w:ascii="Times New Roman" w:hAnsi="Times New Roman" w:cs="Times New Roman"/>
          <w:sz w:val="24"/>
          <w:szCs w:val="20"/>
        </w:rPr>
        <w:t xml:space="preserve">, &amp; F. I. M. Craik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Cress, C. M. (2009).</w:t>
      </w:r>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Driedger, S. D. (1998, April 20). After divorce.</w:t>
      </w:r>
      <w:r w:rsidRPr="00D34C23">
        <w:rPr>
          <w:rFonts w:ascii="Times New Roman" w:hAnsi="Times New Roman" w:cs="Times New Roman"/>
          <w:i/>
          <w:iCs/>
          <w:sz w:val="24"/>
          <w:szCs w:val="20"/>
        </w:rPr>
        <w:t>Maclean’s</w:t>
      </w:r>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Gibbs, J. T., &amp; Huang, L. N. (Eds.).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San Francisco, CA: Jossey-Bass.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McClernon, J. F., Rabinovich, N. E., Sugai, C., Plath, L. C., Asgaard, G., ... Botros, N. (2004). Effects of quitting smoking on EEG activation and attention last for more than 31 days and are more severe with stress, dependence, DRD2 A 1 allele, and depressive traits. </w:t>
      </w:r>
      <w:r w:rsidRPr="00D34C23">
        <w:rPr>
          <w:rFonts w:ascii="Times New Roman" w:hAnsi="Times New Roman" w:cs="Times New Roman"/>
          <w:bCs/>
          <w:i/>
          <w:iCs/>
          <w:sz w:val="24"/>
          <w:szCs w:val="20"/>
        </w:rPr>
        <w:t>Nicotine and Tobacco Research</w:t>
      </w:r>
      <w:r w:rsidRPr="00D34C23">
        <w:rPr>
          <w:rFonts w:ascii="Times New Roman" w:hAnsi="Times New Roman" w:cs="Times New Roman"/>
          <w:bCs/>
          <w:iCs/>
          <w:sz w:val="24"/>
          <w:szCs w:val="20"/>
        </w:rPr>
        <w:t>,</w:t>
      </w:r>
      <w:r w:rsidRPr="00D34C23">
        <w:rPr>
          <w:rFonts w:ascii="Times New Roman" w:hAnsi="Times New Roman" w:cs="Times New Roman"/>
          <w:bCs/>
          <w:i/>
          <w:sz w:val="24"/>
          <w:szCs w:val="20"/>
        </w:rPr>
        <w:t>6</w:t>
      </w:r>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Goleman,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Guignon, C. B. (1998). Existentialism.In E. Craig (Ed.), </w:t>
      </w:r>
      <w:r w:rsidRPr="00D34C23">
        <w:rPr>
          <w:rFonts w:ascii="Times New Roman" w:hAnsi="Times New Roman" w:cs="Times New Roman"/>
          <w:i/>
          <w:iCs/>
          <w:sz w:val="24"/>
          <w:szCs w:val="20"/>
        </w:rPr>
        <w:t>Routledge encyclopedia of philosophy</w:t>
      </w:r>
      <w:r w:rsidRPr="00D34C23">
        <w:rPr>
          <w:rFonts w:ascii="Times New Roman" w:hAnsi="Times New Roman" w:cs="Times New Roman"/>
          <w:sz w:val="24"/>
          <w:szCs w:val="20"/>
        </w:rPr>
        <w:t xml:space="preserve"> (Vol. 3, pp. 493-502). London, England: Routledge.</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University of Canterbury, Christchurch, New Zealand.</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Herculano-Houzel, S., Collins, C. E., Wong, P., Kaas, J. H., &amp; Lent, R. (2008).The basic nonuniformity of the cerebral cortex.</w:t>
      </w:r>
      <w:r w:rsidRPr="00D34C23">
        <w:rPr>
          <w:rFonts w:ascii="Times New Roman" w:hAnsi="Times New Roman" w:cs="Times New Roman"/>
          <w:i/>
          <w:sz w:val="24"/>
          <w:szCs w:val="20"/>
        </w:rPr>
        <w:t>Proceedings of the National Academy of Sciences</w:t>
      </w:r>
      <w:r w:rsidRPr="00D34C23">
        <w:rPr>
          <w:rFonts w:ascii="Times New Roman" w:hAnsi="Times New Roman" w:cs="Times New Roman"/>
          <w:iCs/>
          <w:sz w:val="24"/>
          <w:szCs w:val="20"/>
        </w:rPr>
        <w:t>,</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Liu, S. (2005, May).</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3"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 xml:space="preserve">Note 1. This is an example. </w:t>
      </w:r>
    </w:p>
    <w:p w:rsid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Note 2.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In general, an appendix is appropriate for materials that are relatively brief and that are easily presented in print format. Some examples of material suitable for an appendix are (a) a list of stimulus materials (e.g., those used in psycholinguistic </w:t>
      </w:r>
      <w:r w:rsidRPr="00D34C23">
        <w:rPr>
          <w:rFonts w:ascii="Times New Roman" w:hAnsi="Times New Roman" w:cs="Times New Roman"/>
          <w:sz w:val="24"/>
          <w:szCs w:val="20"/>
        </w:rPr>
        <w:lastRenderedPageBreak/>
        <w:t>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r w:rsidRPr="00D34C23">
              <w:rPr>
                <w:rFonts w:ascii="Times New Roman" w:hAnsi="Times New Roman" w:cs="Times New Roman"/>
                <w:sz w:val="24"/>
              </w:rPr>
              <w:t>Pudong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r w:rsidRPr="00D34C23">
              <w:rPr>
                <w:rFonts w:ascii="Times New Roman" w:hAnsi="Times New Roman" w:cs="Times New Roman"/>
                <w:sz w:val="24"/>
              </w:rPr>
              <w:t>Pudong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2">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t>Appendix C</w:t>
      </w:r>
    </w:p>
    <w:p w:rsidR="00D34C23" w:rsidRPr="00D34C23" w:rsidRDefault="00D34C23" w:rsidP="00D34C23">
      <w:pPr>
        <w:spacing w:after="80" w:line="240" w:lineRule="exact"/>
        <w:rPr>
          <w:rFonts w:ascii="Times New Roman" w:hAnsi="Times New Roman" w:cs="Times New Roman"/>
          <w:sz w:val="24"/>
          <w:szCs w:val="20"/>
        </w:rPr>
      </w:pPr>
      <w:bookmarkStart w:id="10" w:name="OLE_LINK1"/>
      <w:bookmarkStart w:id="11" w:name="OLE_LINK2"/>
      <w:r w:rsidRPr="00D34C23">
        <w:rPr>
          <w:rFonts w:ascii="Times New Roman" w:hAnsi="Times New Roman" w:cs="Times New Roman"/>
          <w:b/>
          <w:sz w:val="24"/>
          <w:szCs w:val="20"/>
        </w:rPr>
        <w:lastRenderedPageBreak/>
        <w:t>The Heading to Appendix C</w:t>
      </w:r>
      <w:r w:rsidRPr="00D34C23">
        <w:rPr>
          <w:rFonts w:ascii="Times New Roman" w:hAnsi="Times New Roman" w:cs="Times New Roman"/>
          <w:sz w:val="24"/>
          <w:szCs w:val="20"/>
        </w:rPr>
        <w:t xml:space="preserve"> (If one table constitutes an entire appendix, the appendix label and title serve in lieu of a table number and title.) </w:t>
      </w:r>
    </w:p>
    <w:tbl>
      <w:tblPr>
        <w:tblW w:w="0" w:type="auto"/>
        <w:jc w:val="center"/>
        <w:tblBorders>
          <w:top w:val="single" w:sz="4" w:space="0" w:color="auto"/>
          <w:insideH w:val="single" w:sz="4" w:space="0" w:color="auto"/>
        </w:tblBorders>
        <w:tblLook w:val="04A0"/>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2" w:name="OLE_LINK9"/>
      <w:bookmarkStart w:id="13"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10"/>
      <w:bookmarkEnd w:id="11"/>
      <w:bookmarkEnd w:id="12"/>
      <w:bookmarkEnd w:id="13"/>
    </w:p>
    <w:sectPr w:rsidR="00D34C23" w:rsidRPr="00D34C23" w:rsidSect="009436A0">
      <w:headerReference w:type="even" r:id="rId14"/>
      <w:headerReference w:type="default" r:id="rId15"/>
      <w:footerReference w:type="even" r:id="rId16"/>
      <w:footerReference w:type="default" r:id="rId17"/>
      <w:headerReference w:type="first" r:id="rId18"/>
      <w:footerReference w:type="first" r:id="rId19"/>
      <w:pgSz w:w="11910" w:h="16840"/>
      <w:pgMar w:top="180" w:right="1800" w:bottom="1800" w:left="1800" w:header="734" w:footer="10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6F" w:rsidRDefault="002A7C6F" w:rsidP="00E4407C">
      <w:pPr>
        <w:spacing w:after="0" w:line="240" w:lineRule="auto"/>
      </w:pPr>
      <w:r>
        <w:separator/>
      </w:r>
    </w:p>
  </w:endnote>
  <w:endnote w:type="continuationSeparator" w:id="0">
    <w:p w:rsidR="002A7C6F" w:rsidRDefault="002A7C6F" w:rsidP="00E4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28" w:rsidRDefault="001B4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59500"/>
      <w:docPartObj>
        <w:docPartGallery w:val="Page Numbers (Bottom of Page)"/>
        <w:docPartUnique/>
      </w:docPartObj>
    </w:sdtPr>
    <w:sdtEndPr>
      <w:rPr>
        <w:noProof/>
      </w:rPr>
    </w:sdtEndPr>
    <w:sdtContent>
      <w:p w:rsidR="002B05D4" w:rsidRDefault="00526F7B">
        <w:pPr>
          <w:pStyle w:val="Footer"/>
          <w:jc w:val="right"/>
        </w:pPr>
        <w:r>
          <w:fldChar w:fldCharType="begin"/>
        </w:r>
        <w:r w:rsidR="002B05D4">
          <w:instrText xml:space="preserve"> PAGE   \* MERGEFORMAT </w:instrText>
        </w:r>
        <w:r>
          <w:fldChar w:fldCharType="separate"/>
        </w:r>
        <w:r w:rsidR="001B4528">
          <w:rPr>
            <w:noProof/>
          </w:rPr>
          <w:t>2</w:t>
        </w:r>
        <w:r>
          <w:rPr>
            <w:noProof/>
          </w:rPr>
          <w:fldChar w:fldCharType="end"/>
        </w:r>
      </w:p>
    </w:sdtContent>
  </w:sdt>
  <w:p w:rsidR="002B05D4" w:rsidRDefault="002B05D4" w:rsidP="00E4407C">
    <w:pPr>
      <w:pStyle w:val="Footer"/>
      <w:tabs>
        <w:tab w:val="clear" w:pos="4680"/>
        <w:tab w:val="clear" w:pos="9360"/>
        <w:tab w:val="left" w:pos="66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28" w:rsidRDefault="001B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6F" w:rsidRDefault="002A7C6F" w:rsidP="00E4407C">
      <w:pPr>
        <w:spacing w:after="0" w:line="240" w:lineRule="auto"/>
      </w:pPr>
      <w:r>
        <w:separator/>
      </w:r>
    </w:p>
  </w:footnote>
  <w:footnote w:type="continuationSeparator" w:id="0">
    <w:p w:rsidR="002A7C6F" w:rsidRDefault="002A7C6F" w:rsidP="00E44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28" w:rsidRDefault="001B4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2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0"/>
      <w:gridCol w:w="3600"/>
    </w:tblGrid>
    <w:tr w:rsidR="001B4528" w:rsidTr="001B4528">
      <w:tc>
        <w:tcPr>
          <w:tcW w:w="6120" w:type="dxa"/>
        </w:tcPr>
        <w:p w:rsidR="001B4528" w:rsidRDefault="001B4528" w:rsidP="001B4528">
          <w:pPr>
            <w:pStyle w:val="Header"/>
            <w:ind w:firstLine="720"/>
            <w:rPr>
              <w:szCs w:val="24"/>
            </w:rPr>
          </w:pPr>
          <w:r>
            <w:rPr>
              <w:rFonts w:ascii="Times New Roman" w:hAnsi="Times New Roman" w:cs="Times New Roman"/>
              <w:i/>
              <w:iCs/>
              <w:sz w:val="24"/>
              <w:szCs w:val="24"/>
            </w:rPr>
            <w:t>{title of Article}</w:t>
          </w:r>
        </w:p>
      </w:tc>
      <w:tc>
        <w:tcPr>
          <w:tcW w:w="3600" w:type="dxa"/>
        </w:tcPr>
        <w:p w:rsidR="001B4528" w:rsidRDefault="001B4528" w:rsidP="001B4528">
          <w:pPr>
            <w:pStyle w:val="Header"/>
            <w:rPr>
              <w:szCs w:val="24"/>
            </w:rPr>
          </w:pPr>
          <w:r>
            <w:rPr>
              <w:rFonts w:ascii="Times New Roman" w:hAnsi="Times New Roman" w:cs="Times New Roman"/>
              <w:i/>
              <w:iCs/>
              <w:sz w:val="24"/>
              <w:szCs w:val="24"/>
            </w:rPr>
            <w:t>Jahan-e-Tahqeeq Vol.X   Issue. X</w:t>
          </w:r>
        </w:p>
      </w:tc>
    </w:tr>
  </w:tbl>
  <w:p w:rsidR="00182EE3" w:rsidRPr="001B4528" w:rsidRDefault="00182EE3" w:rsidP="001B4528">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28" w:rsidRDefault="001B4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463C2"/>
    <w:rsid w:val="00001BC8"/>
    <w:rsid w:val="00003AD6"/>
    <w:rsid w:val="000136C6"/>
    <w:rsid w:val="00013CF8"/>
    <w:rsid w:val="00015AE9"/>
    <w:rsid w:val="00017056"/>
    <w:rsid w:val="00017895"/>
    <w:rsid w:val="00020489"/>
    <w:rsid w:val="00026F33"/>
    <w:rsid w:val="00027388"/>
    <w:rsid w:val="0002784A"/>
    <w:rsid w:val="00033130"/>
    <w:rsid w:val="000341DF"/>
    <w:rsid w:val="00036CB9"/>
    <w:rsid w:val="00041043"/>
    <w:rsid w:val="00045C9C"/>
    <w:rsid w:val="0004667D"/>
    <w:rsid w:val="00050128"/>
    <w:rsid w:val="00051217"/>
    <w:rsid w:val="00051757"/>
    <w:rsid w:val="000519DC"/>
    <w:rsid w:val="0005515A"/>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63D9"/>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DF3"/>
    <w:rsid w:val="001B2F5A"/>
    <w:rsid w:val="001B426F"/>
    <w:rsid w:val="001B4528"/>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789D"/>
    <w:rsid w:val="002A7A5A"/>
    <w:rsid w:val="002A7C6F"/>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17D2A"/>
    <w:rsid w:val="005207D9"/>
    <w:rsid w:val="005229F9"/>
    <w:rsid w:val="00523F52"/>
    <w:rsid w:val="005248D6"/>
    <w:rsid w:val="00524CD9"/>
    <w:rsid w:val="00525AAF"/>
    <w:rsid w:val="00526F7B"/>
    <w:rsid w:val="00527A58"/>
    <w:rsid w:val="005313E9"/>
    <w:rsid w:val="005324A3"/>
    <w:rsid w:val="00532536"/>
    <w:rsid w:val="00532748"/>
    <w:rsid w:val="00532C2F"/>
    <w:rsid w:val="005336DB"/>
    <w:rsid w:val="00533BFD"/>
    <w:rsid w:val="0053643A"/>
    <w:rsid w:val="0053671F"/>
    <w:rsid w:val="005439BA"/>
    <w:rsid w:val="005442E9"/>
    <w:rsid w:val="005448F0"/>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4672"/>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233D9"/>
    <w:rsid w:val="00723B14"/>
    <w:rsid w:val="007261FC"/>
    <w:rsid w:val="00730275"/>
    <w:rsid w:val="0073060F"/>
    <w:rsid w:val="007334D6"/>
    <w:rsid w:val="00736B99"/>
    <w:rsid w:val="00743844"/>
    <w:rsid w:val="00744853"/>
    <w:rsid w:val="00745F29"/>
    <w:rsid w:val="0074632E"/>
    <w:rsid w:val="00746FFA"/>
    <w:rsid w:val="00750443"/>
    <w:rsid w:val="0075313D"/>
    <w:rsid w:val="00753BB6"/>
    <w:rsid w:val="00755033"/>
    <w:rsid w:val="00756854"/>
    <w:rsid w:val="00760117"/>
    <w:rsid w:val="007622C8"/>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A21"/>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B7B"/>
    <w:rsid w:val="009251E8"/>
    <w:rsid w:val="00926B46"/>
    <w:rsid w:val="0093155C"/>
    <w:rsid w:val="00931A8F"/>
    <w:rsid w:val="00934A48"/>
    <w:rsid w:val="00935224"/>
    <w:rsid w:val="00935C0E"/>
    <w:rsid w:val="009401D0"/>
    <w:rsid w:val="0094054D"/>
    <w:rsid w:val="009436A0"/>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65E"/>
    <w:rsid w:val="00DD0E8A"/>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6D5"/>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49"/>
    <w:rsid w:val="00E420B4"/>
    <w:rsid w:val="00E42A43"/>
    <w:rsid w:val="00E42ED8"/>
    <w:rsid w:val="00E4407C"/>
    <w:rsid w:val="00E44908"/>
    <w:rsid w:val="00E470AB"/>
    <w:rsid w:val="00E471A1"/>
    <w:rsid w:val="00E50A12"/>
    <w:rsid w:val="00E52051"/>
    <w:rsid w:val="00E5253B"/>
    <w:rsid w:val="00E52B02"/>
    <w:rsid w:val="00E6075A"/>
    <w:rsid w:val="00E62829"/>
    <w:rsid w:val="00E6325E"/>
    <w:rsid w:val="00E638A2"/>
    <w:rsid w:val="00E67A36"/>
    <w:rsid w:val="00E72CA1"/>
    <w:rsid w:val="00E74395"/>
    <w:rsid w:val="00E7448C"/>
    <w:rsid w:val="00E81769"/>
    <w:rsid w:val="00E82223"/>
    <w:rsid w:val="00E82F58"/>
    <w:rsid w:val="00E8300A"/>
    <w:rsid w:val="00E83BC5"/>
    <w:rsid w:val="00E84342"/>
    <w:rsid w:val="00E857F8"/>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0053"/>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47D"/>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D4037"/>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21"/>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eis.org/iceis2005/abstracts_2005.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ssn.org/resource/ISSN/2709-76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issn.org/resource/ISSN/2709-762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uman.com.pk/"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CD26B2-C43F-49F1-AA6B-CDD6A678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Munawar Iqbal</dc:creator>
  <cp:lastModifiedBy>Soban</cp:lastModifiedBy>
  <cp:revision>21</cp:revision>
  <cp:lastPrinted>2021-01-05T17:24:00Z</cp:lastPrinted>
  <dcterms:created xsi:type="dcterms:W3CDTF">2021-05-29T05:05:00Z</dcterms:created>
  <dcterms:modified xsi:type="dcterms:W3CDTF">2021-08-10T12:54:00Z</dcterms:modified>
</cp:coreProperties>
</file>